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2020-11-12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2020-11-06, i. k. 2020-23415</w:t>
      </w:r>
    </w:p>
    <w:p>
      <w:pPr>
        <w:jc w:val="both"/>
        <w:rPr>
          <w:rFonts w:ascii="Times New Roman" w:hAnsi="Times New Roman"/>
          <w:sz w:val="20"/>
        </w:rPr>
      </w:pPr>
    </w:p>
    <w:p>
      <w:pPr>
        <w:tabs>
          <w:tab w:val="center" w:pos="4819"/>
          <w:tab w:val="right" w:pos="9638"/>
        </w:tabs>
      </w:pPr>
    </w:p>
    <w:p>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pPr>
        <w:jc w:val="center"/>
        <w:rPr>
          <w:b/>
          <w:bCs/>
          <w:szCs w:val="24"/>
          <w:shd w:val="clear" w:color="auto" w:fill="FFFFFF"/>
        </w:rPr>
      </w:pPr>
      <w:r>
        <w:rPr>
          <w:b/>
          <w:bCs/>
          <w:szCs w:val="24"/>
          <w:shd w:val="clear" w:color="auto" w:fill="FFFFFF"/>
        </w:rPr>
        <w:t>VALSTYBĖS LYGIO EKSTREMALIOSIOS SITUACIJOS VALSTYBĖS OPERACIJŲ VADOVAS</w:t>
      </w:r>
    </w:p>
    <w:p>
      <w:pPr>
        <w:jc w:val="center"/>
        <w:rPr>
          <w:b/>
          <w:bCs/>
          <w:szCs w:val="24"/>
          <w:shd w:val="clear" w:color="auto" w:fill="FFFFFF"/>
        </w:rPr>
      </w:pPr>
    </w:p>
    <w:p>
      <w:pPr>
        <w:jc w:val="center"/>
        <w:rPr>
          <w:b/>
          <w:bCs/>
          <w:szCs w:val="24"/>
          <w:shd w:val="clear" w:color="auto" w:fill="FFFFFF"/>
        </w:rPr>
      </w:pPr>
      <w:r>
        <w:rPr>
          <w:b/>
          <w:bCs/>
          <w:szCs w:val="24"/>
          <w:shd w:val="clear" w:color="auto" w:fill="FFFFFF"/>
        </w:rPr>
        <w:t>SPRENDIMAS</w:t>
      </w:r>
    </w:p>
    <w:p>
      <w:pPr>
        <w:jc w:val="center"/>
        <w:rPr>
          <w:szCs w:val="24"/>
          <w:lang w:eastAsia="lt-LT"/>
        </w:rPr>
      </w:pPr>
      <w:r>
        <w:rPr>
          <w:b/>
          <w:bCs/>
          <w:color w:val="000000"/>
          <w:szCs w:val="24"/>
          <w:shd w:val="clear" w:color="auto" w:fill="FFFFFF"/>
        </w:rPr>
        <w:t>DĖL IKIMOKYKLINIO IR PRIEŠMOKYKLINIO UGDYMO ORGANIZAVIMO BŪTINŲ SĄLYGŲ</w:t>
      </w:r>
    </w:p>
    <w:p>
      <w:pPr>
        <w:tabs>
          <w:tab w:val="left" w:pos="851"/>
          <w:tab w:val="left" w:pos="1560"/>
        </w:tabs>
        <w:jc w:val="both"/>
      </w:pPr>
    </w:p>
    <w:p>
      <w:pPr>
        <w:tabs>
          <w:tab w:val="left" w:pos="851"/>
          <w:tab w:val="left" w:pos="1560"/>
        </w:tabs>
        <w:jc w:val="center"/>
        <w:rPr>
          <w:szCs w:val="24"/>
        </w:rPr>
      </w:pPr>
      <w:r>
        <w:rPr>
          <w:szCs w:val="24"/>
        </w:rPr>
        <w:t xml:space="preserve">2020 m. lapkričio  6  d. Nr. V-2543</w:t>
      </w:r>
    </w:p>
    <w:p>
      <w:pPr>
        <w:tabs>
          <w:tab w:val="left" w:pos="851"/>
          <w:tab w:val="left" w:pos="1560"/>
        </w:tabs>
        <w:jc w:val="center"/>
      </w:pPr>
      <w:r>
        <w:rPr>
          <w:szCs w:val="24"/>
        </w:rPr>
        <w:t>Vilnius</w:t>
      </w:r>
    </w:p>
    <w:p>
      <w:pPr>
        <w:tabs>
          <w:tab w:val="left" w:pos="851"/>
          <w:tab w:val="left" w:pos="1560"/>
        </w:tabs>
        <w:jc w:val="both"/>
      </w:pPr>
    </w:p>
    <w:p>
      <w:pPr>
        <w:tabs>
          <w:tab w:val="left" w:pos="851"/>
          <w:tab w:val="left" w:pos="1560"/>
        </w:tabs>
        <w:ind w:firstLine="851"/>
        <w:jc w:val="both"/>
        <w:rPr>
          <w:szCs w:val="24"/>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Vyriausybės 2020 m. lapkričio 4 d. nutarimo Nr. 1226 „Dėl karantino Lietuvos Respublikos teritorijoje paskelbimo“ (toliau – Nutarimas) </w:t>
      </w:r>
      <w:r>
        <w:rPr>
          <w:shd w:val="clear" w:color="auto" w:fill="FFFFFF"/>
        </w:rPr>
        <w:t xml:space="preserve">2.1.5.2.6, </w:t>
      </w:r>
      <w:r>
        <w:rPr>
          <w:color w:val="000000"/>
          <w:szCs w:val="24"/>
          <w:shd w:val="clear" w:color="auto" w:fill="FFFFFF"/>
        </w:rPr>
        <w:t>2.2.9.1 ir 2.2.9.6 papunkčiais bei atsižvelgdamas į Pasaulio sveikatos organizacijos rekomendacijas, nusprendžiu: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b9fb0243011eb932eb1ed7f923910">
        <w:r w:rsidRPr="00532B9F">
          <w:rPr>
            <w:rFonts w:ascii="Times New Roman" w:eastAsia="MS Mincho" w:hAnsi="Times New Roman"/>
            <w:sz w:val="20"/>
            <w:i/>
            <w:iCs/>
            <w:color w:val="0000FF" w:themeColor="hyperlink"/>
            <w:u w:val="single"/>
          </w:rPr>
          <w:t>V-2592</w:t>
        </w:r>
      </w:fldSimple>
      <w:r>
        <w:rPr>
          <w:rFonts w:ascii="Times New Roman" w:eastAsia="MS Mincho" w:hAnsi="Times New Roman"/>
          <w:sz w:val="20"/>
          <w:i/>
          <w:iCs/>
        </w:rPr>
        <w:t>,
2020-11-11,
paskelbta TAR 2020-11-11, i. k. 2020-23710            </w:t>
      </w:r>
    </w:p>
    <w:p/>
    <w:p>
      <w:pPr>
        <w:tabs>
          <w:tab w:val="left" w:pos="851"/>
          <w:tab w:val="left" w:pos="1560"/>
        </w:tabs>
        <w:ind w:firstLine="851"/>
        <w:jc w:val="both"/>
        <w:rPr>
          <w:szCs w:val="24"/>
        </w:rPr>
      </w:pPr>
      <w:r>
        <w:rPr>
          <w:szCs w:val="24"/>
        </w:rPr>
        <w:t>1</w:t>
      </w:r>
      <w:r>
        <w:rPr>
          <w:szCs w:val="24"/>
        </w:rPr>
        <w:t xml:space="preserve">. </w:t>
      </w:r>
      <w:r>
        <w:rPr>
          <w:szCs w:val="24"/>
          <w:shd w:val="clear" w:color="auto" w:fill="FFFFFF"/>
        </w:rPr>
        <w:t>Įpareigoti ikimokyklinio ir priešmokyklinio ugdymo paslaugų (toliau – ugdymo paslaugos) teikėjus organizuoti ugdymo paslaugas laikantis šių reikalavimų:</w:t>
      </w:r>
    </w:p>
    <w:p>
      <w:pPr>
        <w:tabs>
          <w:tab w:val="left" w:pos="851"/>
          <w:tab w:val="left" w:pos="1560"/>
        </w:tabs>
        <w:ind w:firstLine="851"/>
        <w:jc w:val="both"/>
        <w:rPr>
          <w:szCs w:val="24"/>
        </w:rPr>
      </w:pPr>
      <w:r>
        <w:rPr>
          <w:szCs w:val="24"/>
        </w:rPr>
        <w:t>1.</w:t>
      </w:r>
      <w:r>
        <w:rPr>
          <w:szCs w:val="24"/>
          <w:shd w:val="clear" w:color="auto" w:fill="FFFFFF"/>
        </w:rPr>
        <w:t>1</w:t>
      </w:r>
      <w:r>
        <w:rPr>
          <w:szCs w:val="24"/>
          <w:shd w:val="clear" w:color="auto" w:fill="FFFFFF"/>
        </w:rPr>
        <w:t>. Ikimokyklinio ir priešmokyklinio ugdymo veiklos turi būti vykdomos maksimaliai laikantis grupių izoliacijos principo:</w:t>
      </w:r>
    </w:p>
    <w:p>
      <w:pPr>
        <w:tabs>
          <w:tab w:val="left" w:pos="851"/>
          <w:tab w:val="left" w:pos="1560"/>
        </w:tabs>
        <w:ind w:firstLine="851"/>
        <w:jc w:val="both"/>
        <w:rPr>
          <w:szCs w:val="24"/>
        </w:rPr>
      </w:pPr>
      <w:r>
        <w:rPr>
          <w:szCs w:val="24"/>
        </w:rPr>
        <w:t>1.</w:t>
      </w:r>
      <w:r>
        <w:rPr>
          <w:szCs w:val="24"/>
          <w:shd w:val="clear" w:color="auto" w:fill="FFFFFF"/>
        </w:rPr>
        <w:t>1.1</w:t>
      </w:r>
      <w:r>
        <w:rPr>
          <w:szCs w:val="24"/>
          <w:shd w:val="clear" w:color="auto" w:fill="FFFFFF"/>
        </w:rPr>
        <w:t>. vaikai turi lankyti nuolatos tą pačią grupę, grupės veikla turi būti vykdoma taip, kad būtų išvengta skirtingas grupes lankančių vaikų kontakto patalpose, kuriose teikiamos ugdymo paslaugos;</w:t>
      </w:r>
    </w:p>
    <w:p>
      <w:pPr>
        <w:tabs>
          <w:tab w:val="left" w:pos="851"/>
          <w:tab w:val="left" w:pos="1560"/>
        </w:tabs>
        <w:ind w:firstLine="851"/>
        <w:jc w:val="both"/>
        <w:rPr>
          <w:szCs w:val="24"/>
        </w:rPr>
      </w:pPr>
      <w:r>
        <w:rPr>
          <w:szCs w:val="24"/>
        </w:rPr>
        <w:t>1.</w:t>
      </w:r>
      <w:r>
        <w:rPr>
          <w:szCs w:val="24"/>
          <w:shd w:val="clear" w:color="auto" w:fill="FFFFFF"/>
        </w:rPr>
        <w:t>1.2</w:t>
      </w:r>
      <w:r>
        <w:rPr>
          <w:szCs w:val="24"/>
          <w:shd w:val="clear" w:color="auto" w:fill="FFFFFF"/>
        </w:rPr>
        <w:t>. ikimokyklinio ugdymo auklėtojai, priešmokyklinio ugdymo pedagogai tą pačią dieną gali dirbti tik vienoje grupėje;</w:t>
      </w:r>
    </w:p>
    <w:p>
      <w:pPr>
        <w:tabs>
          <w:tab w:val="left" w:pos="851"/>
          <w:tab w:val="left" w:pos="1560"/>
        </w:tabs>
        <w:ind w:firstLine="851"/>
        <w:jc w:val="both"/>
        <w:rPr>
          <w:szCs w:val="24"/>
        </w:rPr>
      </w:pPr>
      <w:r>
        <w:rPr>
          <w:szCs w:val="24"/>
        </w:rPr>
        <w:t>1.</w:t>
      </w:r>
      <w:r>
        <w:rPr>
          <w:szCs w:val="24"/>
          <w:shd w:val="clear" w:color="auto" w:fill="FFFFFF"/>
        </w:rPr>
        <w:t>1.3</w:t>
      </w:r>
      <w:r>
        <w:rPr>
          <w:szCs w:val="24"/>
          <w:shd w:val="clear" w:color="auto" w:fill="FFFFFF"/>
        </w:rPr>
        <w:t>. darbuotojai, į kurių pareigas neįeina tiesioginis darbas su vaikais, neturėtų kontakto su vaikais;</w:t>
      </w:r>
    </w:p>
    <w:p>
      <w:pPr>
        <w:tabs>
          <w:tab w:val="left" w:pos="851"/>
          <w:tab w:val="left" w:pos="1560"/>
        </w:tabs>
        <w:ind w:firstLine="851"/>
        <w:jc w:val="both"/>
        <w:rPr>
          <w:szCs w:val="24"/>
        </w:rPr>
      </w:pPr>
      <w:r>
        <w:rPr>
          <w:szCs w:val="24"/>
        </w:rPr>
        <w:t>1.</w:t>
      </w:r>
      <w:r>
        <w:rPr>
          <w:szCs w:val="24"/>
          <w:shd w:val="clear" w:color="auto" w:fill="FFFFFF"/>
        </w:rPr>
        <w:t>1.4</w:t>
      </w:r>
      <w:r>
        <w:rPr>
          <w:szCs w:val="24"/>
          <w:shd w:val="clear" w:color="auto" w:fill="FFFFFF"/>
        </w:rPr>
        <w:t>. skirtingose grupėse dirbančių darbuotojų kontaktas turi būti ribojamas, jei kontakto išvengti neįmanoma, turi būti ribojamas kontakto laikas ir išlaikomas saugus atstumas;</w:t>
      </w:r>
    </w:p>
    <w:p>
      <w:pPr>
        <w:tabs>
          <w:tab w:val="left" w:pos="851"/>
          <w:tab w:val="left" w:pos="1560"/>
        </w:tabs>
        <w:ind w:firstLine="851"/>
        <w:jc w:val="both"/>
        <w:rPr>
          <w:szCs w:val="24"/>
        </w:rPr>
      </w:pPr>
      <w:r>
        <w:rPr>
          <w:szCs w:val="24"/>
        </w:rPr>
        <w:t>1.</w:t>
      </w:r>
      <w:r>
        <w:rPr>
          <w:szCs w:val="24"/>
          <w:shd w:val="clear" w:color="auto" w:fill="FFFFFF"/>
        </w:rPr>
        <w:t>1.5</w:t>
      </w:r>
      <w:r>
        <w:rPr>
          <w:szCs w:val="24"/>
          <w:shd w:val="clear" w:color="auto" w:fill="FFFFFF"/>
        </w:rPr>
        <w:t>.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pPr>
        <w:ind w:firstLine="851"/>
        <w:jc w:val="both"/>
      </w:pPr>
      <w:r>
        <w:rPr>
          <w:szCs w:val="24"/>
          <w:lang w:eastAsia="lt-LT"/>
        </w:rPr>
        <w:t>1.</w:t>
      </w:r>
      <w:r>
        <w:rPr>
          <w:szCs w:val="24"/>
          <w:shd w:val="clear" w:color="auto" w:fill="FFFFFF"/>
          <w:lang w:eastAsia="lt-LT"/>
        </w:rPr>
        <w:t>1.6</w:t>
      </w:r>
      <w:r>
        <w:rPr>
          <w:szCs w:val="24"/>
          <w:shd w:val="clear" w:color="auto" w:fill="FFFFFF"/>
          <w:lang w:eastAsia="lt-LT"/>
        </w:rPr>
        <w:t>. bendros veiklos kelioms vaikų grupėms negali būti organizuojamos. Jei įstaigoje yra bendrų patalpų (kūno kultūros, muzikos salių ar pan.), po kiekvienos grupės panaudojimo jos turi būti išvėdinamos ir išvalomos;</w:t>
      </w:r>
      <w:r>
        <w:t xml:space="preserve"> </w:t>
      </w:r>
    </w:p>
    <w:p>
      <w:pPr>
        <w:tabs>
          <w:tab w:val="left" w:pos="851"/>
          <w:tab w:val="left" w:pos="1560"/>
        </w:tabs>
        <w:ind w:firstLine="851"/>
        <w:jc w:val="both"/>
        <w:rPr>
          <w:szCs w:val="24"/>
        </w:rPr>
      </w:pPr>
      <w:r>
        <w:rPr>
          <w:szCs w:val="24"/>
        </w:rPr>
        <w:t>1.1.7</w:t>
      </w:r>
      <w:r>
        <w:rPr>
          <w:szCs w:val="24"/>
        </w:rPr>
        <w:t xml:space="preserve">.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pPr>
        <w:tabs>
          <w:tab w:val="left" w:pos="851"/>
          <w:tab w:val="left" w:pos="1560"/>
        </w:tabs>
        <w:ind w:firstLine="851"/>
        <w:jc w:val="both"/>
        <w:rPr>
          <w:szCs w:val="24"/>
        </w:rPr>
      </w:pPr>
      <w:r>
        <w:rPr>
          <w:color w:val="000000"/>
          <w:szCs w:val="24"/>
          <w:shd w:val="clear" w:color="auto" w:fill="FFFFFF"/>
        </w:rPr>
        <w:t>1.1.8</w:t>
      </w:r>
      <w:r>
        <w:rPr>
          <w:color w:val="000000"/>
          <w:szCs w:val="24"/>
          <w:shd w:val="clear" w:color="auto" w:fill="FFFFFF"/>
        </w:rPr>
        <w:t xml:space="preserve">. esant galimybei, rekomenduojama nevykdyti kontaktiniu būdu interaktyvių veiklų, kurių </w:t>
      </w:r>
      <w:r>
        <w:rPr>
          <w:color w:val="000000"/>
          <w:szCs w:val="24"/>
          <w:shd w:val="clear" w:color="auto" w:fill="FFFFFF"/>
          <w:lang w:eastAsia="lt-LT"/>
        </w:rPr>
        <w:t>metu pagilėja, padažnėja kvėpavimas</w:t>
      </w:r>
      <w:r>
        <w:rPr>
          <w:color w:val="000000"/>
          <w:szCs w:val="24"/>
          <w:shd w:val="clear" w:color="auto" w:fill="FFFFFF"/>
        </w:rPr>
        <w:t xml:space="preserve"> (pvz., susijusių su sportu, dainavimu, šokimu ir pan.). O jei vykdoma, tarp vaikų turi būti užtikrinamas ne mažesnis nei 2 metrų atstumas.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b9fb0243011eb932eb1ed7f923910">
        <w:r w:rsidRPr="00532B9F">
          <w:rPr>
            <w:rFonts w:ascii="Times New Roman" w:eastAsia="MS Mincho" w:hAnsi="Times New Roman"/>
            <w:sz w:val="20"/>
            <w:i/>
            <w:iCs/>
            <w:color w:val="0000FF" w:themeColor="hyperlink"/>
            <w:u w:val="single"/>
          </w:rPr>
          <w:t>V-2592</w:t>
        </w:r>
      </w:fldSimple>
      <w:r>
        <w:rPr>
          <w:rFonts w:ascii="Times New Roman" w:eastAsia="MS Mincho" w:hAnsi="Times New Roman"/>
          <w:sz w:val="20"/>
          <w:i/>
          <w:iCs/>
        </w:rPr>
        <w:t>,
2020-11-11,
paskelbta TAR 2020-11-11, i. k. 2020-23710            </w:t>
      </w:r>
    </w:p>
    <w:p/>
    <w:p>
      <w:pPr>
        <w:ind w:firstLine="851"/>
        <w:jc w:val="both"/>
      </w:pPr>
      <w:r>
        <w:rPr>
          <w:szCs w:val="24"/>
          <w:lang w:eastAsia="lt-LT"/>
        </w:rPr>
        <w:t>1.2</w:t>
      </w:r>
      <w:r>
        <w:rPr>
          <w:szCs w:val="24"/>
          <w:lang w:eastAsia="lt-LT"/>
        </w:rPr>
        <w:t xml:space="preserve">. Kad </w:t>
      </w:r>
      <w:r>
        <w:rPr>
          <w:color w:val="000000"/>
          <w:szCs w:val="24"/>
          <w:shd w:val="clear" w:color="auto" w:fill="FFFFFF"/>
          <w:lang w:eastAsia="lt-LT"/>
        </w:rPr>
        <w:t>visi vyresni nei 6 metų asmenys</w:t>
      </w:r>
      <w:r>
        <w:rPr>
          <w:szCs w:val="24"/>
          <w:shd w:val="clear" w:color="auto" w:fill="FFFFFF"/>
        </w:rPr>
        <w:t xml:space="preserve"> </w:t>
      </w:r>
      <w:r>
        <w:rPr>
          <w:color w:val="000000"/>
          <w:szCs w:val="24"/>
          <w:shd w:val="clear" w:color="auto" w:fill="FFFFFF"/>
          <w:lang w:eastAsia="lt-LT"/>
        </w:rPr>
        <w:t>ugdymo paslaugų teikimo vietoje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b9fb0243011eb932eb1ed7f923910">
        <w:r w:rsidRPr="00532B9F">
          <w:rPr>
            <w:rFonts w:ascii="Times New Roman" w:eastAsia="MS Mincho" w:hAnsi="Times New Roman"/>
            <w:sz w:val="20"/>
            <w:i/>
            <w:iCs/>
            <w:color w:val="0000FF" w:themeColor="hyperlink"/>
            <w:u w:val="single"/>
          </w:rPr>
          <w:t>V-2592</w:t>
        </w:r>
      </w:fldSimple>
      <w:r>
        <w:rPr>
          <w:rFonts w:ascii="Times New Roman" w:eastAsia="MS Mincho" w:hAnsi="Times New Roman"/>
          <w:sz w:val="20"/>
          <w:i/>
          <w:iCs/>
        </w:rPr>
        <w:t>,
2020-11-11,
paskelbta TAR 2020-11-11, i. k. 2020-23710            </w:t>
      </w:r>
    </w:p>
    <w:p/>
    <w:p>
      <w:pPr>
        <w:tabs>
          <w:tab w:val="left" w:pos="851"/>
          <w:tab w:val="left" w:pos="1560"/>
        </w:tabs>
        <w:ind w:firstLine="851"/>
        <w:jc w:val="both"/>
        <w:rPr>
          <w:szCs w:val="24"/>
        </w:rPr>
      </w:pPr>
      <w:r>
        <w:rPr>
          <w:szCs w:val="24"/>
        </w:rPr>
        <w:t>1.</w:t>
      </w:r>
      <w:r>
        <w:rPr>
          <w:szCs w:val="24"/>
          <w:shd w:val="clear" w:color="auto" w:fill="FFFFFF"/>
        </w:rPr>
        <w:t>3</w:t>
      </w:r>
      <w:r>
        <w:rPr>
          <w:szCs w:val="24"/>
          <w:shd w:val="clear" w:color="auto" w:fill="FFFFFF"/>
        </w:rPr>
        <w:t>.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pPr>
        <w:tabs>
          <w:tab w:val="left" w:pos="851"/>
          <w:tab w:val="left" w:pos="1560"/>
        </w:tabs>
        <w:ind w:firstLine="851"/>
        <w:jc w:val="both"/>
        <w:rPr>
          <w:szCs w:val="24"/>
        </w:rPr>
      </w:pPr>
      <w:r>
        <w:rPr>
          <w:color w:val="000000"/>
          <w:szCs w:val="24"/>
        </w:rPr>
        <w:t>1.4</w:t>
      </w:r>
      <w:r>
        <w:rPr>
          <w:color w:val="000000"/>
          <w:szCs w:val="24"/>
        </w:rPr>
        <w:t>. Prie įėjimo į ugdymo įstaigą tėvams (globėjams, rūpintojams), darbuotojams ir kitiems asmenims turi būti pateikta informacija apie:</w:t>
      </w:r>
      <w:r>
        <w:t xml:space="preserve"> </w:t>
      </w:r>
    </w:p>
    <w:p>
      <w:pPr>
        <w:tabs>
          <w:tab w:val="left" w:pos="851"/>
          <w:tab w:val="left" w:pos="1560"/>
        </w:tabs>
        <w:ind w:firstLine="851"/>
        <w:jc w:val="both"/>
        <w:rPr>
          <w:szCs w:val="24"/>
        </w:rPr>
      </w:pPr>
      <w:r>
        <w:rPr>
          <w:szCs w:val="24"/>
        </w:rPr>
        <w:t>1.4.1</w:t>
      </w:r>
      <w:r>
        <w:rPr>
          <w:szCs w:val="24"/>
        </w:rPr>
        <w:t>. asmens higienos laikymosi būtinybę (rankų higieną, kosėjimo, čiaudėjimo etiketą ir kt.);</w:t>
      </w:r>
    </w:p>
    <w:p>
      <w:pPr>
        <w:tabs>
          <w:tab w:val="left" w:pos="851"/>
          <w:tab w:val="left" w:pos="1560"/>
        </w:tabs>
        <w:ind w:firstLine="851"/>
        <w:jc w:val="both"/>
        <w:rPr>
          <w:szCs w:val="24"/>
        </w:rPr>
      </w:pPr>
      <w:r>
        <w:rPr>
          <w:szCs w:val="24"/>
        </w:rPr>
        <w:t>1.4.2</w:t>
      </w:r>
      <w:r>
        <w:rPr>
          <w:szCs w:val="24"/>
        </w:rPr>
        <w:t xml:space="preserve">. </w:t>
      </w:r>
      <w:r>
        <w:rPr>
          <w:color w:val="000000"/>
          <w:szCs w:val="24"/>
          <w:shd w:val="clear" w:color="auto" w:fill="FFFFFF"/>
        </w:rPr>
        <w:t>apie reikalavimus dėl kaukių dėvėjimo;</w:t>
      </w:r>
    </w:p>
    <w:p>
      <w:pPr>
        <w:tabs>
          <w:tab w:val="left" w:pos="851"/>
          <w:tab w:val="left" w:pos="1560"/>
        </w:tabs>
        <w:ind w:firstLine="851"/>
        <w:jc w:val="both"/>
        <w:rPr>
          <w:szCs w:val="24"/>
        </w:rPr>
      </w:pPr>
      <w:r>
        <w:rPr>
          <w:szCs w:val="24"/>
        </w:rPr>
        <w:t>1.4.3</w:t>
      </w:r>
      <w:r>
        <w:rPr>
          <w:szCs w:val="24"/>
        </w:rPr>
        <w:t>.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pPr>
        <w:tabs>
          <w:tab w:val="left" w:pos="851"/>
          <w:tab w:val="left" w:pos="1560"/>
        </w:tabs>
        <w:ind w:firstLine="851"/>
        <w:jc w:val="both"/>
        <w:rPr>
          <w:szCs w:val="24"/>
          <w:shd w:val="clear" w:color="auto" w:fill="FFFFFF"/>
        </w:rPr>
      </w:pPr>
      <w:r>
        <w:rPr>
          <w:szCs w:val="24"/>
          <w:shd w:val="clear" w:color="auto" w:fill="FFFFFF"/>
        </w:rPr>
        <w:t>1.5</w:t>
      </w:r>
      <w:r>
        <w:rPr>
          <w:szCs w:val="24"/>
          <w:shd w:val="clear" w:color="auto" w:fill="FFFFFF"/>
        </w:rPr>
        <w:t>.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pPr>
        <w:ind w:firstLine="851"/>
        <w:jc w:val="both"/>
        <w:rPr>
          <w:szCs w:val="24"/>
          <w:shd w:val="clear" w:color="auto" w:fill="FFFFFF"/>
        </w:rPr>
      </w:pPr>
      <w:r>
        <w:rPr>
          <w:szCs w:val="24"/>
          <w:shd w:val="clear" w:color="auto" w:fill="FFFFFF"/>
          <w:lang w:eastAsia="lt-LT"/>
        </w:rPr>
        <w:t>1.6</w:t>
      </w:r>
      <w:r>
        <w:rPr>
          <w:szCs w:val="24"/>
          <w:shd w:val="clear" w:color="auto" w:fill="FFFFFF"/>
          <w:lang w:eastAsia="lt-LT"/>
        </w:rPr>
        <w:t xml:space="preserve">.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pPr>
        <w:tabs>
          <w:tab w:val="left" w:pos="851"/>
          <w:tab w:val="left" w:pos="1560"/>
        </w:tabs>
        <w:ind w:firstLine="851"/>
        <w:jc w:val="both"/>
        <w:rPr>
          <w:szCs w:val="24"/>
          <w:shd w:val="clear" w:color="auto" w:fill="FFFFFF"/>
        </w:rPr>
      </w:pPr>
      <w:r>
        <w:rPr>
          <w:szCs w:val="24"/>
          <w:shd w:val="clear" w:color="auto" w:fill="FFFFFF"/>
        </w:rPr>
        <w:t>1.7</w:t>
      </w:r>
      <w:r>
        <w:rPr>
          <w:szCs w:val="24"/>
          <w:shd w:val="clear" w:color="auto" w:fill="FFFFFF"/>
        </w:rPr>
        <w:t>. Darbuotojų sveikata turi būti stebima:</w:t>
      </w:r>
    </w:p>
    <w:p>
      <w:pPr>
        <w:tabs>
          <w:tab w:val="left" w:pos="851"/>
          <w:tab w:val="left" w:pos="1560"/>
        </w:tabs>
        <w:ind w:firstLine="851"/>
        <w:jc w:val="both"/>
        <w:rPr>
          <w:szCs w:val="24"/>
          <w:shd w:val="clear" w:color="auto" w:fill="FFFFFF"/>
        </w:rPr>
      </w:pPr>
      <w:r>
        <w:rPr>
          <w:szCs w:val="24"/>
          <w:shd w:val="clear" w:color="auto" w:fill="FFFFFF"/>
        </w:rPr>
        <w:t>1.7.1</w:t>
      </w:r>
      <w:r>
        <w:rPr>
          <w:szCs w:val="24"/>
          <w:shd w:val="clear" w:color="auto" w:fill="FFFFFF"/>
        </w:rPr>
        <w:t>. turi būti sudarytos sąlygos matuoti(s) darbuotojų(-ams) kūno temperatūrą atvykus į darbą.</w:t>
      </w:r>
    </w:p>
    <w:p>
      <w:pPr>
        <w:tabs>
          <w:tab w:val="left" w:pos="851"/>
          <w:tab w:val="left" w:pos="1560"/>
        </w:tabs>
        <w:ind w:firstLine="851"/>
        <w:jc w:val="both"/>
        <w:rPr>
          <w:szCs w:val="24"/>
          <w:shd w:val="clear" w:color="auto" w:fill="FFFFFF"/>
        </w:rPr>
      </w:pPr>
      <w:r>
        <w:rPr>
          <w:szCs w:val="24"/>
          <w:shd w:val="clear" w:color="auto" w:fill="FFFFFF"/>
        </w:rPr>
        <w:t>1.7.2</w:t>
      </w:r>
      <w:r>
        <w:rPr>
          <w:szCs w:val="24"/>
          <w:shd w:val="clear" w:color="auto" w:fill="FFFFFF"/>
        </w:rPr>
        <w:t xml:space="preserve">.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pPr>
        <w:tabs>
          <w:tab w:val="left" w:pos="851"/>
          <w:tab w:val="left" w:pos="1560"/>
        </w:tabs>
        <w:ind w:firstLine="851"/>
        <w:jc w:val="both"/>
        <w:rPr>
          <w:szCs w:val="24"/>
          <w:shd w:val="clear" w:color="auto" w:fill="FFFFFF"/>
        </w:rPr>
      </w:pPr>
      <w:r>
        <w:rPr>
          <w:szCs w:val="24"/>
          <w:shd w:val="clear" w:color="auto" w:fill="FFFFFF"/>
        </w:rPr>
        <w:t>1.7.3</w:t>
      </w:r>
      <w:r>
        <w:rPr>
          <w:szCs w:val="24"/>
          <w:shd w:val="clear" w:color="auto" w:fill="FFFFFF"/>
        </w:rPr>
        <w:t>.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pPr>
        <w:tabs>
          <w:tab w:val="left" w:pos="851"/>
          <w:tab w:val="left" w:pos="1560"/>
        </w:tabs>
        <w:ind w:firstLine="851"/>
        <w:jc w:val="both"/>
        <w:rPr>
          <w:szCs w:val="24"/>
          <w:shd w:val="clear" w:color="auto" w:fill="FFFFFF"/>
        </w:rPr>
      </w:pPr>
      <w:r>
        <w:rPr>
          <w:szCs w:val="24"/>
          <w:shd w:val="clear" w:color="auto" w:fill="FFFFFF"/>
        </w:rPr>
        <w:t>1.7.4</w:t>
      </w:r>
      <w:r>
        <w:rPr>
          <w:szCs w:val="24"/>
          <w:shd w:val="clear" w:color="auto" w:fill="FFFFFF"/>
        </w:rPr>
        <w:t>. draudžiama dirbti darbuotojams, kuriems privaloma izoliacija, izoliacijos laikotarpiu, išskyrus darbuotojus, dirbančius nuotoliniu būdu.</w:t>
      </w:r>
    </w:p>
    <w:p>
      <w:pPr>
        <w:tabs>
          <w:tab w:val="left" w:pos="851"/>
          <w:tab w:val="left" w:pos="1560"/>
        </w:tabs>
        <w:ind w:firstLine="851"/>
        <w:jc w:val="both"/>
        <w:rPr>
          <w:szCs w:val="24"/>
          <w:shd w:val="clear" w:color="auto" w:fill="FFFFFF"/>
        </w:rPr>
      </w:pPr>
      <w:r>
        <w:rPr>
          <w:szCs w:val="24"/>
          <w:shd w:val="clear" w:color="auto" w:fill="FFFFFF"/>
        </w:rPr>
        <w:t>1.8</w:t>
      </w:r>
      <w:r>
        <w:rPr>
          <w:szCs w:val="24"/>
          <w:shd w:val="clear" w:color="auto" w:fill="FFFFFF"/>
        </w:rPr>
        <w:t>. Ugdymo paslaugų teikimo vietoje turi būti sudarytos tinkamos sąlygos darbuotojų ir vaikų rankų higienai (praustuvėse tiekiamas šiltas ir šaltas vanduo, prie praustuvių patiekiama skysto muilo).</w:t>
      </w:r>
    </w:p>
    <w:p>
      <w:pPr>
        <w:tabs>
          <w:tab w:val="left" w:pos="851"/>
          <w:tab w:val="left" w:pos="1560"/>
        </w:tabs>
        <w:ind w:firstLine="851"/>
        <w:jc w:val="both"/>
        <w:rPr>
          <w:szCs w:val="24"/>
          <w:shd w:val="clear" w:color="auto" w:fill="FFFFFF"/>
        </w:rPr>
      </w:pPr>
      <w:r>
        <w:rPr>
          <w:szCs w:val="24"/>
          <w:shd w:val="clear" w:color="auto" w:fill="FFFFFF"/>
        </w:rPr>
        <w:t>1.9</w:t>
      </w:r>
      <w:r>
        <w:rPr>
          <w:szCs w:val="24"/>
          <w:shd w:val="clear" w:color="auto" w:fill="FFFFFF"/>
        </w:rPr>
        <w:t>. Kriauklės ir kiti sanitariniai mazgai, kuriais naudojasi kelios vaikų grupės, būtų dezinfekuojami kiekvieną kartą jais pasinaudojus vienam vaikui.</w:t>
      </w:r>
    </w:p>
    <w:p>
      <w:pPr>
        <w:tabs>
          <w:tab w:val="left" w:pos="851"/>
          <w:tab w:val="left" w:pos="1560"/>
        </w:tabs>
        <w:ind w:firstLine="851"/>
        <w:jc w:val="both"/>
        <w:rPr>
          <w:szCs w:val="24"/>
          <w:shd w:val="clear" w:color="auto" w:fill="FFFFFF"/>
        </w:rPr>
      </w:pPr>
      <w:r>
        <w:rPr>
          <w:szCs w:val="24"/>
          <w:shd w:val="clear" w:color="auto" w:fill="FFFFFF"/>
        </w:rPr>
        <w:t>1.10</w:t>
      </w:r>
      <w:r>
        <w:rPr>
          <w:szCs w:val="24"/>
          <w:shd w:val="clear" w:color="auto" w:fill="FFFFFF"/>
        </w:rPr>
        <w:t>.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pPr>
        <w:ind w:firstLine="851"/>
        <w:jc w:val="both"/>
        <w:rPr>
          <w:szCs w:val="24"/>
          <w:shd w:val="clear" w:color="auto" w:fill="FFFFFF"/>
        </w:rPr>
      </w:pPr>
      <w:r>
        <w:rPr>
          <w:color w:val="000000"/>
          <w:shd w:val="clear" w:color="auto" w:fill="FFFFFF"/>
        </w:rPr>
        <w:t>1.11</w:t>
      </w:r>
      <w:r>
        <w:rPr>
          <w:color w:val="000000"/>
          <w:shd w:val="clear" w:color="auto" w:fill="FFFFFF"/>
        </w:rPr>
        <w:t xml:space="preserve">.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pPr>
        <w:ind w:firstLine="851"/>
        <w:jc w:val="both"/>
      </w:pPr>
      <w:r>
        <w:rPr>
          <w:szCs w:val="24"/>
          <w:lang w:eastAsia="lt-LT"/>
        </w:rPr>
        <w:t>2</w:t>
      </w:r>
      <w:r>
        <w:rPr>
          <w:szCs w:val="24"/>
          <w:lang w:eastAsia="lt-LT"/>
        </w:rPr>
        <w:t xml:space="preserve">. Įpareigoti </w:t>
      </w:r>
      <w:r>
        <w:rPr>
          <w:color w:val="000000"/>
          <w:szCs w:val="24"/>
          <w:shd w:val="clear" w:color="auto" w:fill="FFFFFF"/>
          <w:lang w:eastAsia="lt-LT"/>
        </w:rPr>
        <w:t xml:space="preserve">visus vyresnius nei 6 metų asmenis ugdymo paslaugų teikimo vietoje </w:t>
      </w:r>
      <w:r>
        <w:rPr>
          <w:szCs w:val="24"/>
          <w:shd w:val="clear" w:color="auto" w:fill="FFFFFF"/>
          <w:lang w:eastAsia="lt-LT"/>
        </w:rPr>
        <w:t xml:space="preserve">dėvėti kaukes. </w:t>
      </w:r>
      <w:r>
        <w:rPr>
          <w:szCs w:val="24"/>
          <w:lang w:eastAsia="lt-LT"/>
        </w:rPr>
        <w:t xml:space="preserve">Kaukių leidžiama nedėvėti </w:t>
      </w:r>
      <w:r>
        <w:rPr>
          <w:color w:val="000000"/>
          <w:shd w:val="clear" w:color="auto" w:fill="FFFFFF"/>
        </w:rPr>
        <w:t>vaikams, ugdomiems pagal ikimokyklinio ir priešmokyklinio ugdymo programas,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fb9fb0243011eb932eb1ed7f923910">
        <w:r w:rsidRPr="00532B9F">
          <w:rPr>
            <w:rFonts w:ascii="Times New Roman" w:eastAsia="MS Mincho" w:hAnsi="Times New Roman"/>
            <w:sz w:val="20"/>
            <w:i/>
            <w:iCs/>
            <w:color w:val="0000FF" w:themeColor="hyperlink"/>
            <w:u w:val="single"/>
          </w:rPr>
          <w:t>V-2592</w:t>
        </w:r>
      </w:fldSimple>
      <w:r>
        <w:rPr>
          <w:rFonts w:ascii="Times New Roman" w:eastAsia="MS Mincho" w:hAnsi="Times New Roman"/>
          <w:sz w:val="20"/>
          <w:i/>
          <w:iCs/>
        </w:rPr>
        <w:t>,
2020-11-11,
paskelbta TAR 2020-11-11, i. k. 2020-23710            </w:t>
      </w:r>
    </w:p>
    <w:p/>
    <w:p>
      <w:pPr>
        <w:ind w:firstLine="851"/>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pPr>
        <w:ind w:firstLine="851"/>
        <w:jc w:val="both"/>
      </w:pPr>
      <w:r>
        <w:rPr>
          <w:color w:val="000000"/>
          <w:shd w:val="clear" w:color="auto" w:fill="FFFFFF"/>
        </w:rPr>
        <w:t>3.1</w:t>
      </w:r>
      <w:r>
        <w:rPr>
          <w:color w:val="000000"/>
          <w:shd w:val="clear" w:color="auto" w:fill="FFFFFF"/>
        </w:rPr>
        <w:t xml:space="preserve">.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pPr>
        <w:ind w:firstLine="851"/>
        <w:jc w:val="both"/>
      </w:pPr>
      <w:r>
        <w:t>3.2</w:t>
      </w:r>
      <w:r>
        <w:t xml:space="preserve">.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pPr>
        <w:spacing w:line="281"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xml:space="preserve">.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pPr>
        <w:spacing w:line="281" w:lineRule="auto"/>
        <w:ind w:firstLine="720"/>
        <w:jc w:val="both"/>
      </w:pPr>
      <w:r>
        <w:t>5</w:t>
      </w:r>
      <w:r>
        <w:t xml:space="preserve">. </w:t>
      </w:r>
      <w:r>
        <w:rPr>
          <w:szCs w:val="24"/>
          <w:lang w:eastAsia="lt-LT"/>
        </w:rPr>
        <w:t>Nustatyti, kad šis sprendimas įsigalioja 2020 m. lapkričio 7 d.</w:t>
      </w:r>
    </w:p>
    <w:p/>
    <w:p/>
    <w:p/>
    <w:p>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
        <w:rPr>
          <w:color w:val="000000"/>
          <w:szCs w:val="24"/>
          <w:shd w:val="clear" w:color="auto" w:fill="FFFFFF"/>
        </w:rPr>
        <w:t xml:space="preserve">ekstremaliosios situacijos valstybės operacijų vadovas </w:t>
      </w:r>
      <w:r>
        <w:rPr>
          <w:szCs w:val="24"/>
        </w:rPr>
        <w:tab/>
        <w:tab/>
        <w:t xml:space="preserve">   Aurelijus Veryga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ffb9fb0243011eb932eb1ed7f923910">
        <w:r w:rsidRPr="00532B9F">
          <w:rPr>
            <w:rFonts w:ascii="Times New Roman" w:eastAsia="MS Mincho" w:hAnsi="Times New Roman"/>
            <w:sz w:val="20"/>
            <w:iCs/>
            <w:color w:val="0000FF" w:themeColor="hyperlink"/>
            <w:u w:val="single"/>
          </w:rPr>
          <w:t>V-2592</w:t>
        </w:r>
      </w:fldSimple>
      <w:r>
        <w:rPr>
          <w:rFonts w:ascii="Times New Roman" w:eastAsia="MS Mincho" w:hAnsi="Times New Roman"/>
          <w:sz w:val="20"/>
          <w:iCs/>
        </w:rPr>
        <w:t>,
2020-11-11,
paskelbta TAR 2020-11-11, i. k. 2020-23710                </w:t>
      </w:r>
    </w:p>
    <w:p>
      <w:pPr>
        <w:jc w:val="both"/>
        <w:rPr>
          <w:rFonts w:ascii="Times New Roman" w:hAnsi="Times New Roman"/>
        </w:rPr>
      </w:pPr>
      <w:r>
        <w:rPr>
          <w:rFonts w:ascii="Times New Roman" w:hAnsi="Times New Roman"/>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ustomXml" Target="../customXml/item3.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5E3B0308-D00F-4573-87B4-971FBFEB60D2}">
  <ds:schemaRefs>
    <ds:schemaRef ds:uri="http://schemas.openxmlformats.org/officeDocument/2006/bibliography"/>
  </ds:schemaRefs>
</ds:datastoreItem>
</file>

<file path=customXml/itemProps3.xml><?xml version="1.0" encoding="utf-8"?>
<ds:datastoreItem xmlns:ds="http://schemas.openxmlformats.org/officeDocument/2006/customXml" ds:itemID="{1DC9BC3A-BD84-4A4C-A209-3217CCD3FB08}">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0</TotalTime>
  <Pages>4</Pages>
  <Words>7805</Words>
  <Characters>4450</Characters>
  <Application>Microsoft Office Word</Application>
  <DocSecurity>0</DocSecurity>
  <Lines>37</Lines>
  <Paragraphs>24</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LIETUVOS RESPUBLIKOS SVEIKATOS APSAUGOS MINISTRO</vt:lpstr>
      <vt:lpstr>LIETUVOS RESPUBLIKOS SVEIKATOS APSAUGOS MINISTRO</vt:lpstr>
    </vt:vector>
  </TitlesOfParts>
  <Company/>
  <LinksUpToDate>false</LinksUpToDate>
  <CharactersWithSpaces>12231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2020-11-06T14:55:00Z</dcterms:created>
  <dc:creator>Rima</dc:creator>
  <lastModifiedBy>TAMALIŪNIENĖ Vilija</lastModifiedBy>
  <lastPrinted>2020-05-08T11:48:00Z</lastPrinted>
  <dcterms:modified xsi:type="dcterms:W3CDTF">2020-11-12T14:58:00Z</dcterms:modified>
  <revision>4</revision>
  <dc:title>LIETUVOS RESPUBLIKOS SVEIKATOS APSAUGOS MINISTRO</dc:title>
</coreProperties>
</file>